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Cónicas y cuádricas (T).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presenta la teoría de cónicas y cuádricas junto con algún ejercicio de identificación de las mismas..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https://media.caminstech.upc.edu/video/56d97ec13d825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57xem84muq4" w:id="1"/>
      <w:bookmarkEnd w:id="1"/>
      <w:r w:rsidDel="00000000" w:rsidR="00000000" w:rsidRPr="00000000">
        <w:rPr>
          <w:rtl w:val="0"/>
        </w:rPr>
        <w:t xml:space="preserve">Existe un video asociado a éste que plantea y soluciona problemas de cónicas y cuádricas.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8og0no2ocq3x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https://media.caminstech.upc.edu/video/56d97ec21a1de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c13d825" TargetMode="External"/><Relationship Id="rId8" Type="http://schemas.openxmlformats.org/officeDocument/2006/relationships/hyperlink" Target="https://media.caminstech.upc.edu/video/56d97ec21a1d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368BI4QAvq2xeNEU3ni7B/CHpw==">CgMxLjAyDmguYzhpZWtvamNhZXprMg1oLjU3eGVtODRtdXE0Mg5oLjhvZzBubzJvY3EzeDgAciExaWx1cDRva05OcDRwUUlFTUxuSlhjbkl3MVgyVmZpNFM=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