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Ecuaciones diferenciales ordinarias (P).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vídeo se plantea y soluciona un problema que se resuelve con una ecuación diferencial ordinaria. Se encuentra en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8og0no2ocq3x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https://media.caminstech.upc.edu/video/56d97e5064977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plantea y soluciona un problema que se resuelve con una ecuación diferencial ordinaria.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c8iekojcaezk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https://media.caminstech.upc.edu/video/56d97e4f13b85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5064977" TargetMode="External"/><Relationship Id="rId8" Type="http://schemas.openxmlformats.org/officeDocument/2006/relationships/hyperlink" Target="https://media.caminstech.upc.edu/video/56d97e4f13b8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2At9RueSx6HmQ+8G+S80FTTSA==">CgMxLjAyDmguOG9nMG5vMm9jcTN4Mg1oLjU3eGVtODRtdXE0Mg5oLmM4aWVrb2pjYWV6azIOaC44b2cwbm8yb2NxM3g4AHIhMVlsTGZqblVKcHZqQ3gzRi1sYkZrdHppcEFrVmE5azZU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