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576" w:hanging="576"/>
        <w:rPr/>
      </w:pPr>
      <w:r w:rsidDel="00000000" w:rsidR="00000000" w:rsidRPr="00000000">
        <w:rPr>
          <w:rtl w:val="0"/>
        </w:rPr>
        <w:t xml:space="preserve">Video Engagement. Autovalores y aplicación a mecánica estructural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este video se muestra el estudio de autovalores aplicado a problemas de ingeniería, para motivar a los estudiantes en el estudio de autovalores y ecuaciones diferenciales. (video) 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https://media.caminstech.upc.edu/video/vybp50eida4msz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vybp50eida4ms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sm4YDp8S/gUf+spZzg3N6mFKg==">CgMxLjA4AHIhMWc2eHZ3WEdPVG5iQXpiRHJBQ3dETWtxaHpXZVpKREFi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